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42A47" w14:textId="5C2FE62A" w:rsidR="00A11B69" w:rsidRPr="00A11B69" w:rsidRDefault="00A11B69" w:rsidP="00A11B69">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A11B69">
        <w:rPr>
          <w:rFonts w:ascii="Lato" w:eastAsia="Times New Roman" w:hAnsi="Lato" w:cs="Times New Roman"/>
          <w:color w:val="CC3300"/>
          <w:kern w:val="36"/>
          <w:sz w:val="36"/>
          <w:szCs w:val="36"/>
          <w:lang w:eastAsia="fr-BE"/>
          <w14:ligatures w14:val="none"/>
        </w:rPr>
        <w:t>Century Aluminium</w:t>
      </w:r>
      <w:r>
        <w:rPr>
          <w:rFonts w:ascii="Lato" w:eastAsia="Times New Roman" w:hAnsi="Lato" w:cs="Times New Roman"/>
          <w:color w:val="CC3300"/>
          <w:kern w:val="36"/>
          <w:sz w:val="36"/>
          <w:szCs w:val="36"/>
          <w:lang w:eastAsia="fr-BE"/>
          <w14:ligatures w14:val="none"/>
        </w:rPr>
        <w:t>,</w:t>
      </w:r>
      <w:r w:rsidRPr="00A11B69">
        <w:rPr>
          <w:rFonts w:ascii="Lato" w:eastAsia="Times New Roman" w:hAnsi="Lato" w:cs="Times New Roman"/>
          <w:color w:val="CC3300"/>
          <w:kern w:val="36"/>
          <w:sz w:val="36"/>
          <w:szCs w:val="36"/>
          <w:lang w:eastAsia="fr-BE"/>
          <w14:ligatures w14:val="none"/>
        </w:rPr>
        <w:t xml:space="preserve"> des signes de reprise de la demande en aluminium apparaissent</w:t>
      </w:r>
    </w:p>
    <w:p w14:paraId="088A6A71" w14:textId="77777777" w:rsidR="00A11B69" w:rsidRDefault="00A11B69" w:rsidP="00A11B69">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1A585E01" w14:textId="0344FC29" w:rsidR="00A11B69" w:rsidRPr="00A11B69" w:rsidRDefault="00A11B69" w:rsidP="00A11B6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11B69">
        <w:rPr>
          <w:rFonts w:ascii="Lato" w:eastAsia="Times New Roman" w:hAnsi="Lato" w:cs="Times New Roman"/>
          <w:b/>
          <w:bCs/>
          <w:color w:val="000000"/>
          <w:kern w:val="0"/>
          <w:sz w:val="23"/>
          <w:szCs w:val="23"/>
          <w:lang w:eastAsia="fr-BE"/>
          <w14:ligatures w14:val="none"/>
        </w:rPr>
        <w:t>Les premiers signes de reprise de la demande commencent à apparaître. Cela se traduit au niveau des cours du métal sur le LME, lesquels montrent de velléités de progression. « </w:t>
      </w:r>
      <w:r w:rsidRPr="00A11B69">
        <w:rPr>
          <w:rFonts w:ascii="Lato" w:eastAsia="Times New Roman" w:hAnsi="Lato" w:cs="Times New Roman"/>
          <w:b/>
          <w:bCs/>
          <w:i/>
          <w:iCs/>
          <w:color w:val="000000"/>
          <w:kern w:val="0"/>
          <w:sz w:val="23"/>
          <w:szCs w:val="23"/>
          <w:lang w:eastAsia="fr-BE"/>
          <w14:ligatures w14:val="none"/>
        </w:rPr>
        <w:t>Ça bouge du côté de la demande et de l’offre en produits verts</w:t>
      </w:r>
      <w:r w:rsidRPr="00A11B69">
        <w:rPr>
          <w:rFonts w:ascii="Lato" w:eastAsia="Times New Roman" w:hAnsi="Lato" w:cs="Times New Roman"/>
          <w:b/>
          <w:bCs/>
          <w:color w:val="000000"/>
          <w:kern w:val="0"/>
          <w:sz w:val="23"/>
          <w:szCs w:val="23"/>
          <w:lang w:eastAsia="fr-BE"/>
          <w14:ligatures w14:val="none"/>
        </w:rPr>
        <w:t xml:space="preserve"> », a constaté Jesse Gary, président et </w:t>
      </w:r>
      <w:proofErr w:type="spellStart"/>
      <w:r w:rsidRPr="00A11B69">
        <w:rPr>
          <w:rFonts w:ascii="Lato" w:eastAsia="Times New Roman" w:hAnsi="Lato" w:cs="Times New Roman"/>
          <w:b/>
          <w:bCs/>
          <w:color w:val="000000"/>
          <w:kern w:val="0"/>
          <w:sz w:val="23"/>
          <w:szCs w:val="23"/>
          <w:lang w:eastAsia="fr-BE"/>
          <w14:ligatures w14:val="none"/>
        </w:rPr>
        <w:t>pdg</w:t>
      </w:r>
      <w:proofErr w:type="spellEnd"/>
      <w:r w:rsidRPr="00A11B69">
        <w:rPr>
          <w:rFonts w:ascii="Lato" w:eastAsia="Times New Roman" w:hAnsi="Lato" w:cs="Times New Roman"/>
          <w:b/>
          <w:bCs/>
          <w:color w:val="000000"/>
          <w:kern w:val="0"/>
          <w:sz w:val="23"/>
          <w:szCs w:val="23"/>
          <w:lang w:eastAsia="fr-BE"/>
          <w14:ligatures w14:val="none"/>
        </w:rPr>
        <w:t xml:space="preserve"> du groupe américain Century Aluminium, lors de la présentation des résultats du 3</w:t>
      </w:r>
      <w:r w:rsidRPr="00A11B69">
        <w:rPr>
          <w:rFonts w:ascii="Lato" w:eastAsia="Times New Roman" w:hAnsi="Lato" w:cs="Times New Roman"/>
          <w:b/>
          <w:bCs/>
          <w:color w:val="000000"/>
          <w:kern w:val="0"/>
          <w:sz w:val="23"/>
          <w:szCs w:val="23"/>
          <w:vertAlign w:val="superscript"/>
          <w:lang w:eastAsia="fr-BE"/>
          <w14:ligatures w14:val="none"/>
        </w:rPr>
        <w:t>e</w:t>
      </w:r>
      <w:r w:rsidRPr="00A11B69">
        <w:rPr>
          <w:rFonts w:ascii="Lato" w:eastAsia="Times New Roman" w:hAnsi="Lato" w:cs="Times New Roman"/>
          <w:b/>
          <w:bCs/>
          <w:color w:val="000000"/>
          <w:kern w:val="0"/>
          <w:sz w:val="23"/>
          <w:szCs w:val="23"/>
          <w:lang w:eastAsia="fr-BE"/>
          <w14:ligatures w14:val="none"/>
        </w:rPr>
        <w:t> trimestre.</w:t>
      </w:r>
    </w:p>
    <w:p w14:paraId="4B1B1425" w14:textId="77777777" w:rsidR="00A11B69" w:rsidRPr="00A11B69" w:rsidRDefault="00A11B69" w:rsidP="00A11B6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11B69">
        <w:rPr>
          <w:rFonts w:ascii="Lato" w:eastAsia="Times New Roman" w:hAnsi="Lato" w:cs="Times New Roman"/>
          <w:color w:val="000000"/>
          <w:kern w:val="0"/>
          <w:sz w:val="23"/>
          <w:szCs w:val="23"/>
          <w:lang w:eastAsia="fr-BE"/>
          <w14:ligatures w14:val="none"/>
        </w:rPr>
        <w:t> </w:t>
      </w:r>
    </w:p>
    <w:p w14:paraId="68E0A9BA" w14:textId="77777777" w:rsidR="00A11B69" w:rsidRPr="00A11B69" w:rsidRDefault="00A11B69" w:rsidP="00A11B6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11B69">
        <w:rPr>
          <w:rFonts w:ascii="Lato" w:eastAsia="Times New Roman" w:hAnsi="Lato" w:cs="Times New Roman"/>
          <w:color w:val="000000"/>
          <w:kern w:val="0"/>
          <w:sz w:val="23"/>
          <w:szCs w:val="23"/>
          <w:lang w:eastAsia="fr-BE"/>
          <w14:ligatures w14:val="none"/>
        </w:rPr>
        <w:t>« </w:t>
      </w:r>
      <w:r w:rsidRPr="00A11B69">
        <w:rPr>
          <w:rFonts w:ascii="Lato" w:eastAsia="Times New Roman" w:hAnsi="Lato" w:cs="Times New Roman"/>
          <w:i/>
          <w:iCs/>
          <w:color w:val="000000"/>
          <w:kern w:val="0"/>
          <w:sz w:val="23"/>
          <w:szCs w:val="23"/>
          <w:lang w:eastAsia="fr-BE"/>
          <w14:ligatures w14:val="none"/>
        </w:rPr>
        <w:t>Le marché mondial reste globalement équilibré avec un déficit chinois largement compensé par l’excédent dans le reste du monde », a-t-il argué, ajoutant que la demande chinoise a surfé sur la transition énergétique, en particulier dans les secteurs de l’énergie solaire et des véhicules électriques. « Les mesures d’incitation fiscale en Chine devraient également soutenir la reprise dans le secteur de la construction, le pays poursuivant sa reprise après les confinements liés à la Covid</w:t>
      </w:r>
      <w:r w:rsidRPr="00A11B69">
        <w:rPr>
          <w:rFonts w:ascii="Lato" w:eastAsia="Times New Roman" w:hAnsi="Lato" w:cs="Times New Roman"/>
          <w:color w:val="000000"/>
          <w:kern w:val="0"/>
          <w:sz w:val="23"/>
          <w:szCs w:val="23"/>
          <w:lang w:eastAsia="fr-BE"/>
          <w14:ligatures w14:val="none"/>
        </w:rPr>
        <w:t> », anticipe-t-il.</w:t>
      </w:r>
    </w:p>
    <w:p w14:paraId="0DDC400E" w14:textId="77777777" w:rsidR="00A11B69" w:rsidRPr="00A11B69" w:rsidRDefault="00A11B69" w:rsidP="00A11B6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11B69">
        <w:rPr>
          <w:rFonts w:ascii="Lato" w:eastAsia="Times New Roman" w:hAnsi="Lato" w:cs="Times New Roman"/>
          <w:color w:val="000000"/>
          <w:kern w:val="0"/>
          <w:sz w:val="23"/>
          <w:szCs w:val="23"/>
          <w:lang w:eastAsia="fr-BE"/>
          <w14:ligatures w14:val="none"/>
        </w:rPr>
        <w:t>Les fonderies chinoises de la province de Yunnan vont abaisser leurs niveaux de capacités en raison de la baisse des réserves d’eau utilisées pour produire l’hydroélectricité. Le déficit de production dans le pays devrait s’accroître, selon lui : « </w:t>
      </w:r>
      <w:r w:rsidRPr="00A11B69">
        <w:rPr>
          <w:rFonts w:ascii="Lato" w:eastAsia="Times New Roman" w:hAnsi="Lato" w:cs="Times New Roman"/>
          <w:i/>
          <w:iCs/>
          <w:color w:val="000000"/>
          <w:kern w:val="0"/>
          <w:sz w:val="23"/>
          <w:szCs w:val="23"/>
          <w:lang w:eastAsia="fr-BE"/>
          <w14:ligatures w14:val="none"/>
        </w:rPr>
        <w:t>Compte tenu du niveau historiquement bas des stocks, les cours du LME devraient s’apprécier à la moindre bonne nouvelle concernant la demande ou des perturbations de production, comme ce fût le cas avec les fermetures de capacités saisonnières survenues dans la province de Yunnan</w:t>
      </w:r>
      <w:r w:rsidRPr="00A11B69">
        <w:rPr>
          <w:rFonts w:ascii="Lato" w:eastAsia="Times New Roman" w:hAnsi="Lato" w:cs="Times New Roman"/>
          <w:color w:val="000000"/>
          <w:kern w:val="0"/>
          <w:sz w:val="23"/>
          <w:szCs w:val="23"/>
          <w:lang w:eastAsia="fr-BE"/>
          <w14:ligatures w14:val="none"/>
        </w:rPr>
        <w:t>. »</w:t>
      </w:r>
    </w:p>
    <w:p w14:paraId="559219C0" w14:textId="77777777" w:rsidR="00A11B69" w:rsidRPr="00A11B69" w:rsidRDefault="00A11B69" w:rsidP="00A11B6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11B69">
        <w:rPr>
          <w:rFonts w:ascii="Lato" w:eastAsia="Times New Roman" w:hAnsi="Lato" w:cs="Times New Roman"/>
          <w:color w:val="000000"/>
          <w:kern w:val="0"/>
          <w:sz w:val="23"/>
          <w:szCs w:val="23"/>
          <w:lang w:eastAsia="fr-BE"/>
          <w14:ligatures w14:val="none"/>
        </w:rPr>
        <w:t> </w:t>
      </w:r>
    </w:p>
    <w:p w14:paraId="60F2AB39" w14:textId="77777777" w:rsidR="00A11B69" w:rsidRPr="00A11B69" w:rsidRDefault="00A11B69" w:rsidP="00A11B6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11B69">
        <w:rPr>
          <w:rFonts w:ascii="Lato" w:eastAsia="Times New Roman" w:hAnsi="Lato" w:cs="Times New Roman"/>
          <w:b/>
          <w:bCs/>
          <w:color w:val="A52A2A"/>
          <w:kern w:val="0"/>
          <w:sz w:val="23"/>
          <w:szCs w:val="23"/>
          <w:lang w:eastAsia="fr-BE"/>
          <w14:ligatures w14:val="none"/>
        </w:rPr>
        <w:t>Les résultats affectés par l’énergie</w:t>
      </w:r>
    </w:p>
    <w:p w14:paraId="589F86B1" w14:textId="77777777" w:rsidR="00A11B69" w:rsidRPr="00A11B69" w:rsidRDefault="00A11B69" w:rsidP="00A11B6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11B69">
        <w:rPr>
          <w:rFonts w:ascii="Lato" w:eastAsia="Times New Roman" w:hAnsi="Lato" w:cs="Times New Roman"/>
          <w:color w:val="000000"/>
          <w:kern w:val="0"/>
          <w:sz w:val="23"/>
          <w:szCs w:val="23"/>
          <w:lang w:eastAsia="fr-BE"/>
          <w14:ligatures w14:val="none"/>
        </w:rPr>
        <w:t>Les résultats du 3</w:t>
      </w:r>
      <w:r w:rsidRPr="00A11B69">
        <w:rPr>
          <w:rFonts w:ascii="Lato" w:eastAsia="Times New Roman" w:hAnsi="Lato" w:cs="Times New Roman"/>
          <w:color w:val="000000"/>
          <w:kern w:val="0"/>
          <w:sz w:val="23"/>
          <w:szCs w:val="23"/>
          <w:vertAlign w:val="superscript"/>
          <w:lang w:eastAsia="fr-BE"/>
          <w14:ligatures w14:val="none"/>
        </w:rPr>
        <w:t>e</w:t>
      </w:r>
      <w:r w:rsidRPr="00A11B69">
        <w:rPr>
          <w:rFonts w:ascii="Lato" w:eastAsia="Times New Roman" w:hAnsi="Lato" w:cs="Times New Roman"/>
          <w:color w:val="000000"/>
          <w:kern w:val="0"/>
          <w:sz w:val="23"/>
          <w:szCs w:val="23"/>
          <w:lang w:eastAsia="fr-BE"/>
          <w14:ligatures w14:val="none"/>
        </w:rPr>
        <w:t> trimestre de la fonderie Mount Holly, dans le Sud de la Caroline, ont été affectés par les prix de l’énergie.</w:t>
      </w:r>
    </w:p>
    <w:p w14:paraId="7AFF1E19" w14:textId="77777777" w:rsidR="00A11B69" w:rsidRPr="00A11B69" w:rsidRDefault="00A11B69" w:rsidP="00A11B6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11B69">
        <w:rPr>
          <w:rFonts w:ascii="Lato" w:eastAsia="Times New Roman" w:hAnsi="Lato" w:cs="Times New Roman"/>
          <w:color w:val="000000"/>
          <w:kern w:val="0"/>
          <w:sz w:val="23"/>
          <w:szCs w:val="23"/>
          <w:lang w:eastAsia="fr-BE"/>
          <w14:ligatures w14:val="none"/>
        </w:rPr>
        <w:t>Le 23 octobre, le producteur a noué un accord avec Santee Cooper pour la poursuite de l’approvisionnement en énergie de la fonderie Mount Holly pendant les trois prochaines années. Selon les termes de l’accord, la fonderie sera moins exposée aux variations des cours du pétrole. Depuis 2021, la fonderie, d’une capacité de 230.000 tonnes, opère à 75% de ses capacités. Selon l’International Aluminium Institute (IAI), les producteurs nord-américains ont consommé 14,944 kWh d’énergie en 2022. Les Etats-Unis sont loin de pouvoir répondre à la demande du pays, leur accès aux énergies renouvelables étant l’un des grands défis de l’industrie. L’accord d’approvisionnement en énergie de Santee Cooper permettra à </w:t>
      </w:r>
      <w:r w:rsidRPr="00A11B69">
        <w:rPr>
          <w:rFonts w:ascii="Lato" w:eastAsia="Times New Roman" w:hAnsi="Lato" w:cs="Times New Roman"/>
          <w:b/>
          <w:bCs/>
          <w:color w:val="000000"/>
          <w:kern w:val="0"/>
          <w:sz w:val="23"/>
          <w:szCs w:val="23"/>
          <w:lang w:eastAsia="fr-BE"/>
          <w14:ligatures w14:val="none"/>
        </w:rPr>
        <w:t>Century Aluminium</w:t>
      </w:r>
      <w:r w:rsidRPr="00A11B69">
        <w:rPr>
          <w:rFonts w:ascii="Lato" w:eastAsia="Times New Roman" w:hAnsi="Lato" w:cs="Times New Roman"/>
          <w:color w:val="000000"/>
          <w:kern w:val="0"/>
          <w:sz w:val="23"/>
          <w:szCs w:val="23"/>
          <w:lang w:eastAsia="fr-BE"/>
          <w14:ligatures w14:val="none"/>
        </w:rPr>
        <w:t> d’utiliser la totalité des capacités de la fonderie.</w:t>
      </w:r>
    </w:p>
    <w:p w14:paraId="28329135" w14:textId="77777777" w:rsidR="00A11B69" w:rsidRPr="00A11B69" w:rsidRDefault="00A11B69" w:rsidP="00A11B6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11B69">
        <w:rPr>
          <w:rFonts w:ascii="Lato" w:eastAsia="Times New Roman" w:hAnsi="Lato" w:cs="Times New Roman"/>
          <w:color w:val="000000"/>
          <w:kern w:val="0"/>
          <w:sz w:val="23"/>
          <w:szCs w:val="23"/>
          <w:lang w:eastAsia="fr-BE"/>
          <w14:ligatures w14:val="none"/>
        </w:rPr>
        <w:t>Au 3</w:t>
      </w:r>
      <w:r w:rsidRPr="00A11B69">
        <w:rPr>
          <w:rFonts w:ascii="Lato" w:eastAsia="Times New Roman" w:hAnsi="Lato" w:cs="Times New Roman"/>
          <w:color w:val="000000"/>
          <w:kern w:val="0"/>
          <w:sz w:val="23"/>
          <w:szCs w:val="23"/>
          <w:vertAlign w:val="superscript"/>
          <w:lang w:eastAsia="fr-BE"/>
          <w14:ligatures w14:val="none"/>
        </w:rPr>
        <w:t>e</w:t>
      </w:r>
      <w:r w:rsidRPr="00A11B69">
        <w:rPr>
          <w:rFonts w:ascii="Lato" w:eastAsia="Times New Roman" w:hAnsi="Lato" w:cs="Times New Roman"/>
          <w:color w:val="000000"/>
          <w:kern w:val="0"/>
          <w:sz w:val="23"/>
          <w:szCs w:val="23"/>
          <w:lang w:eastAsia="fr-BE"/>
          <w14:ligatures w14:val="none"/>
        </w:rPr>
        <w:t> trimestre, les livraisons du groupe ont reculé de 1%, à 171.995 tonnes, par rapport aux 173.649 tonnes expédiées au 2</w:t>
      </w:r>
      <w:r w:rsidRPr="00A11B69">
        <w:rPr>
          <w:rFonts w:ascii="Lato" w:eastAsia="Times New Roman" w:hAnsi="Lato" w:cs="Times New Roman"/>
          <w:color w:val="000000"/>
          <w:kern w:val="0"/>
          <w:sz w:val="23"/>
          <w:szCs w:val="23"/>
          <w:vertAlign w:val="superscript"/>
          <w:lang w:eastAsia="fr-BE"/>
          <w14:ligatures w14:val="none"/>
        </w:rPr>
        <w:t>e</w:t>
      </w:r>
      <w:r w:rsidRPr="00A11B69">
        <w:rPr>
          <w:rFonts w:ascii="Lato" w:eastAsia="Times New Roman" w:hAnsi="Lato" w:cs="Times New Roman"/>
          <w:color w:val="000000"/>
          <w:kern w:val="0"/>
          <w:sz w:val="23"/>
          <w:szCs w:val="23"/>
          <w:lang w:eastAsia="fr-BE"/>
          <w14:ligatures w14:val="none"/>
        </w:rPr>
        <w:t> trimestre. Les ventes sur le marché intérieur ont représenté 93.675 tonnes ; celles à destination de l’Islande 78.320 tonnes. Ces volumes sont en baisse comparé aux volumes livrés au 2</w:t>
      </w:r>
      <w:r w:rsidRPr="00A11B69">
        <w:rPr>
          <w:rFonts w:ascii="Lato" w:eastAsia="Times New Roman" w:hAnsi="Lato" w:cs="Times New Roman"/>
          <w:color w:val="000000"/>
          <w:kern w:val="0"/>
          <w:sz w:val="23"/>
          <w:szCs w:val="23"/>
          <w:vertAlign w:val="superscript"/>
          <w:lang w:eastAsia="fr-BE"/>
          <w14:ligatures w14:val="none"/>
        </w:rPr>
        <w:t>e</w:t>
      </w:r>
      <w:r w:rsidRPr="00A11B69">
        <w:rPr>
          <w:rFonts w:ascii="Lato" w:eastAsia="Times New Roman" w:hAnsi="Lato" w:cs="Times New Roman"/>
          <w:color w:val="000000"/>
          <w:kern w:val="0"/>
          <w:sz w:val="23"/>
          <w:szCs w:val="23"/>
          <w:lang w:eastAsia="fr-BE"/>
          <w14:ligatures w14:val="none"/>
        </w:rPr>
        <w:t> trimestre, respectivement de 97.224 tonnes et 76.425 tonnes. Le producteur espère produire 450.000 tonnes de produits à haute valeur ajoutée en aluminium sur l’exercice 2023 et 565.000 tonnes sur l’exercice 2024.</w:t>
      </w:r>
    </w:p>
    <w:p w14:paraId="36F955ED" w14:textId="77777777" w:rsidR="00A11B69" w:rsidRPr="00A11B69" w:rsidRDefault="00A11B69" w:rsidP="00A11B6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11B69">
        <w:rPr>
          <w:rFonts w:ascii="Lato" w:eastAsia="Times New Roman" w:hAnsi="Lato" w:cs="Times New Roman"/>
          <w:color w:val="000000"/>
          <w:kern w:val="0"/>
          <w:sz w:val="23"/>
          <w:szCs w:val="23"/>
          <w:lang w:eastAsia="fr-BE"/>
          <w14:ligatures w14:val="none"/>
        </w:rPr>
        <w:t> </w:t>
      </w:r>
    </w:p>
    <w:p w14:paraId="16623D5E" w14:textId="77777777" w:rsidR="00A11B69" w:rsidRPr="00A11B69" w:rsidRDefault="00A11B69" w:rsidP="00A11B6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11B69">
        <w:rPr>
          <w:rFonts w:ascii="Lato" w:eastAsia="Times New Roman" w:hAnsi="Lato" w:cs="Times New Roman"/>
          <w:b/>
          <w:bCs/>
          <w:color w:val="A52A2A"/>
          <w:kern w:val="0"/>
          <w:sz w:val="23"/>
          <w:szCs w:val="23"/>
          <w:lang w:eastAsia="fr-BE"/>
          <w14:ligatures w14:val="none"/>
        </w:rPr>
        <w:t>Production bas carbone</w:t>
      </w:r>
    </w:p>
    <w:p w14:paraId="51D8F193" w14:textId="77777777" w:rsidR="00A11B69" w:rsidRPr="00A11B69" w:rsidRDefault="00A11B69" w:rsidP="00A11B6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11B69">
        <w:rPr>
          <w:rFonts w:ascii="Lato" w:eastAsia="Times New Roman" w:hAnsi="Lato" w:cs="Times New Roman"/>
          <w:color w:val="000000"/>
          <w:kern w:val="0"/>
          <w:sz w:val="23"/>
          <w:szCs w:val="23"/>
          <w:lang w:eastAsia="fr-BE"/>
          <w14:ligatures w14:val="none"/>
        </w:rPr>
        <w:t>« </w:t>
      </w:r>
      <w:r w:rsidRPr="00A11B69">
        <w:rPr>
          <w:rFonts w:ascii="Lato" w:eastAsia="Times New Roman" w:hAnsi="Lato" w:cs="Times New Roman"/>
          <w:i/>
          <w:iCs/>
          <w:color w:val="000000"/>
          <w:kern w:val="0"/>
          <w:sz w:val="23"/>
          <w:szCs w:val="23"/>
          <w:lang w:eastAsia="fr-BE"/>
          <w14:ligatures w14:val="none"/>
        </w:rPr>
        <w:t xml:space="preserve">La construction de la nouvelle ligne de coulée à la fonderie </w:t>
      </w:r>
      <w:proofErr w:type="spellStart"/>
      <w:r w:rsidRPr="00A11B69">
        <w:rPr>
          <w:rFonts w:ascii="Lato" w:eastAsia="Times New Roman" w:hAnsi="Lato" w:cs="Times New Roman"/>
          <w:i/>
          <w:iCs/>
          <w:color w:val="000000"/>
          <w:kern w:val="0"/>
          <w:sz w:val="23"/>
          <w:szCs w:val="23"/>
          <w:lang w:eastAsia="fr-BE"/>
          <w14:ligatures w14:val="none"/>
        </w:rPr>
        <w:t>Grundartangi</w:t>
      </w:r>
      <w:proofErr w:type="spellEnd"/>
      <w:r w:rsidRPr="00A11B69">
        <w:rPr>
          <w:rFonts w:ascii="Lato" w:eastAsia="Times New Roman" w:hAnsi="Lato" w:cs="Times New Roman"/>
          <w:i/>
          <w:iCs/>
          <w:color w:val="000000"/>
          <w:kern w:val="0"/>
          <w:sz w:val="23"/>
          <w:szCs w:val="23"/>
          <w:lang w:eastAsia="fr-BE"/>
          <w14:ligatures w14:val="none"/>
        </w:rPr>
        <w:t xml:space="preserve"> est sur le point d’être terminée et elle devrait pouvoir fournir ses premières billettes d’aluminium bas carbone aux </w:t>
      </w:r>
      <w:r w:rsidRPr="00A11B69">
        <w:rPr>
          <w:rFonts w:ascii="Lato" w:eastAsia="Times New Roman" w:hAnsi="Lato" w:cs="Times New Roman"/>
          <w:i/>
          <w:iCs/>
          <w:color w:val="000000"/>
          <w:kern w:val="0"/>
          <w:sz w:val="23"/>
          <w:szCs w:val="23"/>
          <w:lang w:eastAsia="fr-BE"/>
          <w14:ligatures w14:val="none"/>
        </w:rPr>
        <w:lastRenderedPageBreak/>
        <w:t>consommateurs européens début 2024 </w:t>
      </w:r>
      <w:r w:rsidRPr="00A11B69">
        <w:rPr>
          <w:rFonts w:ascii="Lato" w:eastAsia="Times New Roman" w:hAnsi="Lato" w:cs="Times New Roman"/>
          <w:color w:val="000000"/>
          <w:kern w:val="0"/>
          <w:sz w:val="23"/>
          <w:szCs w:val="23"/>
          <w:lang w:eastAsia="fr-BE"/>
          <w14:ligatures w14:val="none"/>
        </w:rPr>
        <w:t xml:space="preserve">», s’est réjoui Jesse Gary. La fonderie </w:t>
      </w:r>
      <w:proofErr w:type="spellStart"/>
      <w:r w:rsidRPr="00A11B69">
        <w:rPr>
          <w:rFonts w:ascii="Lato" w:eastAsia="Times New Roman" w:hAnsi="Lato" w:cs="Times New Roman"/>
          <w:color w:val="000000"/>
          <w:kern w:val="0"/>
          <w:sz w:val="23"/>
          <w:szCs w:val="23"/>
          <w:lang w:eastAsia="fr-BE"/>
          <w14:ligatures w14:val="none"/>
        </w:rPr>
        <w:t>Grundartangi</w:t>
      </w:r>
      <w:proofErr w:type="spellEnd"/>
      <w:r w:rsidRPr="00A11B69">
        <w:rPr>
          <w:rFonts w:ascii="Lato" w:eastAsia="Times New Roman" w:hAnsi="Lato" w:cs="Times New Roman"/>
          <w:color w:val="000000"/>
          <w:kern w:val="0"/>
          <w:sz w:val="23"/>
          <w:szCs w:val="23"/>
          <w:lang w:eastAsia="fr-BE"/>
          <w14:ligatures w14:val="none"/>
        </w:rPr>
        <w:t xml:space="preserve">, située en Islande, produit </w:t>
      </w:r>
      <w:proofErr w:type="gramStart"/>
      <w:r w:rsidRPr="00A11B69">
        <w:rPr>
          <w:rFonts w:ascii="Lato" w:eastAsia="Times New Roman" w:hAnsi="Lato" w:cs="Times New Roman"/>
          <w:color w:val="000000"/>
          <w:kern w:val="0"/>
          <w:sz w:val="23"/>
          <w:szCs w:val="23"/>
          <w:lang w:eastAsia="fr-BE"/>
          <w14:ligatures w14:val="none"/>
        </w:rPr>
        <w:t>les lingots bas carbone</w:t>
      </w:r>
      <w:proofErr w:type="gramEnd"/>
      <w:r w:rsidRPr="00A11B69">
        <w:rPr>
          <w:rFonts w:ascii="Lato" w:eastAsia="Times New Roman" w:hAnsi="Lato" w:cs="Times New Roman"/>
          <w:color w:val="000000"/>
          <w:kern w:val="0"/>
          <w:sz w:val="23"/>
          <w:szCs w:val="23"/>
          <w:lang w:eastAsia="fr-BE"/>
          <w14:ligatures w14:val="none"/>
        </w:rPr>
        <w:t xml:space="preserve"> du groupe </w:t>
      </w:r>
      <w:proofErr w:type="spellStart"/>
      <w:r w:rsidRPr="00A11B69">
        <w:rPr>
          <w:rFonts w:ascii="Lato" w:eastAsia="Times New Roman" w:hAnsi="Lato" w:cs="Times New Roman"/>
          <w:color w:val="000000"/>
          <w:kern w:val="0"/>
          <w:sz w:val="23"/>
          <w:szCs w:val="23"/>
          <w:u w:val="single"/>
          <w:lang w:eastAsia="fr-BE"/>
          <w14:ligatures w14:val="none"/>
        </w:rPr>
        <w:t>natur</w:t>
      </w:r>
      <w:proofErr w:type="spellEnd"/>
      <w:r w:rsidRPr="00A11B69">
        <w:rPr>
          <w:rFonts w:ascii="Lato" w:eastAsia="Times New Roman" w:hAnsi="Lato" w:cs="Times New Roman"/>
          <w:color w:val="000000"/>
          <w:kern w:val="0"/>
          <w:sz w:val="23"/>
          <w:szCs w:val="23"/>
          <w:u w:val="single"/>
          <w:lang w:eastAsia="fr-BE"/>
          <w14:ligatures w14:val="none"/>
        </w:rPr>
        <w:t>-Al</w:t>
      </w:r>
      <w:r w:rsidRPr="00A11B69">
        <w:rPr>
          <w:rFonts w:ascii="Lato" w:eastAsia="Times New Roman" w:hAnsi="Lato" w:cs="Times New Roman"/>
          <w:color w:val="000000"/>
          <w:kern w:val="0"/>
          <w:sz w:val="23"/>
          <w:szCs w:val="23"/>
          <w:lang w:eastAsia="fr-BE"/>
          <w14:ligatures w14:val="none"/>
        </w:rPr>
        <w:t xml:space="preserve">. La nouvelle ligne de coulée va permettre de doubler la capacité de production des lingots d’alliages de première fusion </w:t>
      </w:r>
      <w:proofErr w:type="spellStart"/>
      <w:r w:rsidRPr="00A11B69">
        <w:rPr>
          <w:rFonts w:ascii="Lato" w:eastAsia="Times New Roman" w:hAnsi="Lato" w:cs="Times New Roman"/>
          <w:color w:val="000000"/>
          <w:kern w:val="0"/>
          <w:sz w:val="23"/>
          <w:szCs w:val="23"/>
          <w:lang w:eastAsia="fr-BE"/>
          <w14:ligatures w14:val="none"/>
        </w:rPr>
        <w:t>natur</w:t>
      </w:r>
      <w:proofErr w:type="spellEnd"/>
      <w:r w:rsidRPr="00A11B69">
        <w:rPr>
          <w:rFonts w:ascii="Lato" w:eastAsia="Times New Roman" w:hAnsi="Lato" w:cs="Times New Roman"/>
          <w:color w:val="000000"/>
          <w:kern w:val="0"/>
          <w:sz w:val="23"/>
          <w:szCs w:val="23"/>
          <w:lang w:eastAsia="fr-BE"/>
          <w14:ligatures w14:val="none"/>
        </w:rPr>
        <w:t xml:space="preserve">-Al à 120.000 tonnes et produire 150.000 tonnes de </w:t>
      </w:r>
      <w:proofErr w:type="gramStart"/>
      <w:r w:rsidRPr="00A11B69">
        <w:rPr>
          <w:rFonts w:ascii="Lato" w:eastAsia="Times New Roman" w:hAnsi="Lato" w:cs="Times New Roman"/>
          <w:color w:val="000000"/>
          <w:kern w:val="0"/>
          <w:sz w:val="23"/>
          <w:szCs w:val="23"/>
          <w:lang w:eastAsia="fr-BE"/>
          <w14:ligatures w14:val="none"/>
        </w:rPr>
        <w:t>billettes bas carbone</w:t>
      </w:r>
      <w:proofErr w:type="gramEnd"/>
      <w:r w:rsidRPr="00A11B69">
        <w:rPr>
          <w:rFonts w:ascii="Lato" w:eastAsia="Times New Roman" w:hAnsi="Lato" w:cs="Times New Roman"/>
          <w:color w:val="000000"/>
          <w:kern w:val="0"/>
          <w:sz w:val="23"/>
          <w:szCs w:val="23"/>
          <w:lang w:eastAsia="fr-BE"/>
          <w14:ligatures w14:val="none"/>
        </w:rPr>
        <w:t xml:space="preserve"> par an.</w:t>
      </w:r>
    </w:p>
    <w:p w14:paraId="0AB8779C" w14:textId="77777777" w:rsidR="00A11B69" w:rsidRPr="00A11B69" w:rsidRDefault="00A11B69" w:rsidP="00A11B6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11B69">
        <w:rPr>
          <w:rFonts w:ascii="Lato" w:eastAsia="Times New Roman" w:hAnsi="Lato" w:cs="Times New Roman"/>
          <w:color w:val="000000"/>
          <w:kern w:val="0"/>
          <w:sz w:val="23"/>
          <w:szCs w:val="23"/>
          <w:lang w:eastAsia="fr-BE"/>
          <w14:ligatures w14:val="none"/>
        </w:rPr>
        <w:t> </w:t>
      </w:r>
    </w:p>
    <w:p w14:paraId="5CBA4BCF"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69"/>
    <w:rsid w:val="00287462"/>
    <w:rsid w:val="00A11B6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51296"/>
  <w15:chartTrackingRefBased/>
  <w15:docId w15:val="{E0E43C4B-13B7-42FE-A338-B2BC4F8B6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6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3017</Characters>
  <Application>Microsoft Office Word</Application>
  <DocSecurity>0</DocSecurity>
  <Lines>25</Lines>
  <Paragraphs>7</Paragraphs>
  <ScaleCrop>false</ScaleCrop>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2023-12-04T08:47:00Z</dcterms:created>
  <dcterms:modified xsi:type="dcterms:W3CDTF">2023-12-04T08:47:00Z</dcterms:modified>
</cp:coreProperties>
</file>